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6EB7" w14:textId="37DFA246" w:rsidR="008E6C52" w:rsidRDefault="001405CF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</w:t>
      </w:r>
    </w:p>
    <w:p w14:paraId="61AF77AF" w14:textId="19611699" w:rsidR="007A39BB" w:rsidRPr="001561DF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14:paraId="238F5EAD" w14:textId="4A2EAE1C" w:rsidR="001405CF" w:rsidRPr="008E6C52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  <w:r w:rsidRPr="008E6C52">
        <w:rPr>
          <w:b/>
          <w:color w:val="000000"/>
          <w:sz w:val="30"/>
          <w:szCs w:val="30"/>
        </w:rPr>
        <w:t xml:space="preserve">«О мерах по борьбе с коррупцией </w:t>
      </w:r>
      <w:r w:rsidR="001561DF">
        <w:rPr>
          <w:b/>
          <w:color w:val="000000"/>
          <w:sz w:val="30"/>
          <w:szCs w:val="30"/>
        </w:rPr>
        <w:br/>
      </w:r>
      <w:r w:rsidRPr="008E6C52">
        <w:rPr>
          <w:b/>
          <w:color w:val="000000"/>
          <w:sz w:val="30"/>
          <w:szCs w:val="30"/>
        </w:rPr>
        <w:t xml:space="preserve">в </w:t>
      </w:r>
      <w:r w:rsidR="00045711">
        <w:rPr>
          <w:b/>
          <w:color w:val="000000"/>
          <w:sz w:val="30"/>
          <w:szCs w:val="30"/>
        </w:rPr>
        <w:t>Молодечненском районе</w:t>
      </w:r>
      <w:r w:rsidRPr="008E6C52">
        <w:rPr>
          <w:b/>
          <w:color w:val="000000"/>
          <w:sz w:val="30"/>
          <w:szCs w:val="30"/>
        </w:rPr>
        <w:t>»</w:t>
      </w:r>
    </w:p>
    <w:p w14:paraId="4E2FCE1E" w14:textId="77777777" w:rsidR="001405CF" w:rsidRDefault="001405CF" w:rsidP="002403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14:paraId="1A865E60" w14:textId="77777777" w:rsidR="00045711" w:rsidRDefault="00045711" w:rsidP="000457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24BE9BFA" w14:textId="695BB277" w:rsidR="00045711" w:rsidRPr="00514E33" w:rsidRDefault="00514E33" w:rsidP="00514E33">
      <w:pPr>
        <w:ind w:firstLine="450"/>
        <w:contextualSpacing/>
        <w:jc w:val="both"/>
        <w:rPr>
          <w:rStyle w:val="word-wrapper"/>
          <w:b/>
          <w:sz w:val="30"/>
          <w:szCs w:val="30"/>
          <w:shd w:val="clear" w:color="auto" w:fill="FFFFFF"/>
        </w:rPr>
      </w:pPr>
      <w:r w:rsidRPr="00514E33">
        <w:rPr>
          <w:rStyle w:val="word-wrapper"/>
          <w:b/>
          <w:sz w:val="30"/>
          <w:szCs w:val="30"/>
          <w:shd w:val="clear" w:color="auto" w:fill="FFFFFF"/>
        </w:rPr>
        <w:t xml:space="preserve">    </w:t>
      </w:r>
      <w:r w:rsidR="00045711" w:rsidRPr="00514E33">
        <w:rPr>
          <w:rStyle w:val="word-wrapper"/>
          <w:b/>
          <w:sz w:val="30"/>
          <w:szCs w:val="30"/>
          <w:shd w:val="clear" w:color="auto" w:fill="FFFFFF"/>
        </w:rPr>
        <w:t>Противодействие коррупции - задача не только госорганов, но и иных организаций независимо от формы собственности (</w:t>
      </w:r>
      <w:r w:rsidR="00045711" w:rsidRPr="00514E33">
        <w:rPr>
          <w:rStyle w:val="word-wrapper"/>
          <w:b/>
          <w:sz w:val="30"/>
          <w:szCs w:val="30"/>
        </w:rPr>
        <w:t>ч. 1 ст. 5</w:t>
      </w:r>
      <w:r w:rsidR="00045711" w:rsidRPr="00514E33">
        <w:rPr>
          <w:rStyle w:val="fake-non-breaking-space"/>
          <w:b/>
          <w:sz w:val="30"/>
          <w:szCs w:val="30"/>
          <w:shd w:val="clear" w:color="auto" w:fill="FFFFFF"/>
        </w:rPr>
        <w:t> </w:t>
      </w:r>
      <w:r w:rsidR="00045711" w:rsidRPr="00514E33">
        <w:rPr>
          <w:rStyle w:val="word-wrapper"/>
          <w:b/>
          <w:sz w:val="30"/>
          <w:szCs w:val="30"/>
          <w:shd w:val="clear" w:color="auto" w:fill="FFFFFF"/>
        </w:rPr>
        <w:t>Закона о борьбе с коррупцией). Это 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14:paraId="3F7295D8" w14:textId="439D7DB7" w:rsidR="00045711" w:rsidRPr="00514E33" w:rsidRDefault="00514E33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 xml:space="preserve">     </w:t>
      </w:r>
      <w:r w:rsidR="00045711" w:rsidRPr="00514E33">
        <w:rPr>
          <w:rStyle w:val="word-wrapper"/>
          <w:sz w:val="30"/>
          <w:szCs w:val="30"/>
        </w:rPr>
        <w:t>В ходе прокурорских проверок среди правонарушений, создающих условия для коррупции, наиболее часто выявляют:</w:t>
      </w:r>
    </w:p>
    <w:p w14:paraId="29EB5902" w14:textId="2814F040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30"/>
          <w:szCs w:val="30"/>
        </w:rPr>
      </w:pPr>
      <w:r w:rsidRPr="00514E33">
        <w:rPr>
          <w:rStyle w:val="word-wrapper"/>
          <w:b/>
          <w:sz w:val="30"/>
          <w:szCs w:val="30"/>
        </w:rPr>
        <w:t xml:space="preserve">- </w:t>
      </w:r>
      <w:r w:rsidR="00514E33" w:rsidRPr="00514E33">
        <w:rPr>
          <w:rStyle w:val="word-wrapper"/>
          <w:b/>
          <w:sz w:val="30"/>
          <w:szCs w:val="30"/>
        </w:rPr>
        <w:t xml:space="preserve">   </w:t>
      </w:r>
      <w:r w:rsidRPr="00514E33">
        <w:rPr>
          <w:rStyle w:val="word-wrapper"/>
          <w:b/>
          <w:sz w:val="30"/>
          <w:szCs w:val="30"/>
        </w:rPr>
        <w:t>нарушения порядка проведения конкурсов и аукционов;</w:t>
      </w:r>
    </w:p>
    <w:p w14:paraId="44C27DE3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30"/>
          <w:szCs w:val="30"/>
        </w:rPr>
      </w:pPr>
      <w:r w:rsidRPr="00514E33">
        <w:rPr>
          <w:rStyle w:val="word-wrapper"/>
          <w:b/>
          <w:sz w:val="30"/>
          <w:szCs w:val="30"/>
        </w:rPr>
        <w:t>- непринятие руководителем организации мер по борьбе с коррупцией;</w:t>
      </w:r>
    </w:p>
    <w:p w14:paraId="74645756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30"/>
          <w:szCs w:val="30"/>
        </w:rPr>
      </w:pPr>
      <w:r w:rsidRPr="00514E33">
        <w:rPr>
          <w:rStyle w:val="word-wrapper"/>
          <w:b/>
          <w:sz w:val="30"/>
          <w:szCs w:val="30"/>
        </w:rPr>
        <w:t xml:space="preserve">- </w:t>
      </w:r>
      <w:proofErr w:type="spellStart"/>
      <w:r w:rsidRPr="00514E33">
        <w:rPr>
          <w:rStyle w:val="word-wrapper"/>
          <w:b/>
          <w:sz w:val="30"/>
          <w:szCs w:val="30"/>
        </w:rPr>
        <w:t>неподписание</w:t>
      </w:r>
      <w:proofErr w:type="spellEnd"/>
      <w:r w:rsidRPr="00514E33">
        <w:rPr>
          <w:rStyle w:val="word-wrapper"/>
          <w:b/>
          <w:sz w:val="30"/>
          <w:szCs w:val="30"/>
        </w:rPr>
        <w:t xml:space="preserve"> должностным лицом обязательства (ч. 1 ст. 16</w:t>
      </w:r>
      <w:r w:rsidRPr="00514E33">
        <w:rPr>
          <w:rStyle w:val="fake-non-breaking-space"/>
          <w:b/>
          <w:sz w:val="30"/>
          <w:szCs w:val="30"/>
        </w:rPr>
        <w:t> </w:t>
      </w:r>
      <w:r w:rsidRPr="00514E33">
        <w:rPr>
          <w:rStyle w:val="word-wrapper"/>
          <w:b/>
          <w:sz w:val="30"/>
          <w:szCs w:val="30"/>
        </w:rPr>
        <w:t>Закона о борьбе с коррупцией), а также непринятие уполномоченными лицами мер по истребованию такого обязательства;</w:t>
      </w:r>
    </w:p>
    <w:p w14:paraId="48777155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 xml:space="preserve">- недостоверное отражение в </w:t>
      </w:r>
      <w:proofErr w:type="spellStart"/>
      <w:r w:rsidRPr="00514E33">
        <w:rPr>
          <w:rStyle w:val="word-wrapper"/>
          <w:sz w:val="30"/>
          <w:szCs w:val="30"/>
        </w:rPr>
        <w:t>госстатотчетности</w:t>
      </w:r>
      <w:proofErr w:type="spellEnd"/>
      <w:r w:rsidRPr="00514E33">
        <w:rPr>
          <w:rStyle w:val="word-wrapper"/>
          <w:sz w:val="30"/>
          <w:szCs w:val="30"/>
        </w:rPr>
        <w:t xml:space="preserve"> сведений об объеме выполненных работ при строительстве, внесение заведомо ложных сведений в официальные документы при отсутствии состава преступления, предусмотренного ст. 427</w:t>
      </w:r>
      <w:r w:rsidRPr="00514E33">
        <w:rPr>
          <w:rStyle w:val="fake-non-breaking-space"/>
          <w:sz w:val="30"/>
          <w:szCs w:val="30"/>
        </w:rPr>
        <w:t> </w:t>
      </w:r>
      <w:r w:rsidRPr="00514E33">
        <w:rPr>
          <w:rStyle w:val="word-wrapper"/>
          <w:sz w:val="30"/>
          <w:szCs w:val="30"/>
        </w:rPr>
        <w:t>УК;</w:t>
      </w:r>
    </w:p>
    <w:p w14:paraId="2943A3B8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 неправомерное предпочтение должностным лицом при подготовке и принятии решений интересов физических или юридических лиц либо предоставление им необоснованных льгот и привилегий, содействие в их предоставлении;</w:t>
      </w:r>
    </w:p>
    <w:p w14:paraId="22EC9B85" w14:textId="0F6BFBA0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</w:t>
      </w:r>
      <w:r w:rsidR="00514E33">
        <w:rPr>
          <w:rStyle w:val="word-wrapper"/>
          <w:sz w:val="30"/>
          <w:szCs w:val="30"/>
          <w:lang w:val="en-US"/>
        </w:rPr>
        <w:t> </w:t>
      </w:r>
      <w:r w:rsidRPr="00514E33">
        <w:rPr>
          <w:rStyle w:val="word-wrapper"/>
          <w:sz w:val="30"/>
          <w:szCs w:val="30"/>
        </w:rPr>
        <w:t>злоупотребления должностных лиц организаций лесхоза, природоохранных инспекций, землеустроительных служб и других госорганов в виде незаконного привлечения граждан к административной ответственности.</w:t>
      </w:r>
    </w:p>
    <w:p w14:paraId="6A16F057" w14:textId="2B4BB0AE" w:rsidR="00045711" w:rsidRPr="00514E33" w:rsidRDefault="00514E33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sz w:val="30"/>
          <w:szCs w:val="30"/>
        </w:rPr>
      </w:pPr>
      <w:r w:rsidRPr="00514E33">
        <w:rPr>
          <w:rStyle w:val="word-wrapper"/>
          <w:sz w:val="30"/>
          <w:szCs w:val="30"/>
        </w:rPr>
        <w:t xml:space="preserve">    </w:t>
      </w:r>
      <w:r w:rsidR="00045711" w:rsidRPr="00514E33">
        <w:rPr>
          <w:rStyle w:val="word-wrapper"/>
          <w:sz w:val="30"/>
          <w:szCs w:val="30"/>
        </w:rPr>
        <w:t>По итогам прокурорских проверок руководителю организации, как правило, выносят представление. В нем указываются причины и условия, которые способствовали совершению коррупционных преступлений. Руководитель в течение месяца со дня получения представления обязан сообщить о принятых мерах по устранению нарушений и недопущению их в дальнейшем (п. 2 ст. 38</w:t>
      </w:r>
      <w:r w:rsidR="00045711" w:rsidRPr="00514E33">
        <w:rPr>
          <w:rStyle w:val="fake-non-breaking-space"/>
          <w:sz w:val="30"/>
          <w:szCs w:val="30"/>
        </w:rPr>
        <w:t> </w:t>
      </w:r>
      <w:r w:rsidR="00045711" w:rsidRPr="00514E33">
        <w:rPr>
          <w:rStyle w:val="word-wrapper"/>
          <w:sz w:val="30"/>
          <w:szCs w:val="30"/>
        </w:rPr>
        <w:t>Закона о прокуратуре).</w:t>
      </w:r>
    </w:p>
    <w:p w14:paraId="04E4AA4B" w14:textId="77777777" w:rsidR="00045711" w:rsidRPr="00514E33" w:rsidRDefault="00045711" w:rsidP="00514E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30"/>
          <w:szCs w:val="30"/>
        </w:rPr>
      </w:pPr>
      <w:r w:rsidRPr="00514E33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</w:t>
      </w:r>
      <w:r w:rsidRPr="00514E33">
        <w:rPr>
          <w:sz w:val="30"/>
          <w:szCs w:val="30"/>
        </w:rPr>
        <w:lastRenderedPageBreak/>
        <w:t xml:space="preserve">общества на эффективное противодействие этому явлению. </w:t>
      </w:r>
    </w:p>
    <w:p w14:paraId="5365A695" w14:textId="77777777" w:rsidR="00045711" w:rsidRPr="00514E33" w:rsidRDefault="00045711" w:rsidP="00514E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30"/>
          <w:szCs w:val="30"/>
        </w:rPr>
      </w:pPr>
      <w:r w:rsidRPr="00514E33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7DB489D4" w14:textId="77777777" w:rsidR="00045711" w:rsidRPr="00514E33" w:rsidRDefault="00045711" w:rsidP="00514E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30"/>
          <w:szCs w:val="30"/>
        </w:rPr>
      </w:pPr>
      <w:r w:rsidRPr="00514E33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73D5A9AE" w14:textId="1D48DE6A" w:rsidR="00045711" w:rsidRPr="00514E33" w:rsidRDefault="00045711" w:rsidP="00514E33">
      <w:pPr>
        <w:contextualSpacing/>
        <w:jc w:val="both"/>
        <w:rPr>
          <w:sz w:val="30"/>
          <w:szCs w:val="30"/>
        </w:rPr>
      </w:pPr>
      <w:r w:rsidRPr="00514E33">
        <w:rPr>
          <w:sz w:val="30"/>
          <w:szCs w:val="30"/>
        </w:rPr>
        <w:tab/>
        <w:t xml:space="preserve">Основополагающим способом предупреждения коррупционных проявлений является - </w:t>
      </w:r>
      <w:r w:rsidRPr="00514E33">
        <w:rPr>
          <w:rStyle w:val="word-wrapper"/>
          <w:bCs/>
          <w:sz w:val="30"/>
          <w:szCs w:val="30"/>
        </w:rPr>
        <w:t>обучение работников.</w:t>
      </w:r>
    </w:p>
    <w:p w14:paraId="66DB7291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В первую очередь антикоррупционное обучение предусматривают для государственных должностных лиц, а также лиц, обучающихся в учреждениях образования. Оно входит в перечень установленных мер борьбы с коррупцией (</w:t>
      </w:r>
      <w:proofErr w:type="spellStart"/>
      <w:r w:rsidRPr="00514E33">
        <w:rPr>
          <w:rStyle w:val="word-wrapper"/>
          <w:sz w:val="30"/>
          <w:szCs w:val="30"/>
        </w:rPr>
        <w:t>абз</w:t>
      </w:r>
      <w:proofErr w:type="spellEnd"/>
      <w:r w:rsidRPr="00514E33">
        <w:rPr>
          <w:rStyle w:val="word-wrapper"/>
          <w:sz w:val="30"/>
          <w:szCs w:val="30"/>
        </w:rPr>
        <w:t>. 18 ч. 1 ст. 5</w:t>
      </w:r>
      <w:r w:rsidRPr="00514E33">
        <w:rPr>
          <w:rStyle w:val="fake-non-breaking-space"/>
          <w:sz w:val="30"/>
          <w:szCs w:val="30"/>
        </w:rPr>
        <w:t> </w:t>
      </w:r>
      <w:r w:rsidRPr="00514E33">
        <w:rPr>
          <w:rStyle w:val="word-wrapper"/>
          <w:sz w:val="30"/>
          <w:szCs w:val="30"/>
        </w:rPr>
        <w:t>Закона о борьбе с коррупцией).</w:t>
      </w:r>
    </w:p>
    <w:p w14:paraId="0BC71658" w14:textId="61A6C424" w:rsidR="00045711" w:rsidRPr="00514E33" w:rsidRDefault="00514E33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 xml:space="preserve">   </w:t>
      </w:r>
      <w:r w:rsidR="00045711" w:rsidRPr="00514E33">
        <w:rPr>
          <w:rStyle w:val="word-wrapper"/>
          <w:sz w:val="30"/>
          <w:szCs w:val="30"/>
        </w:rPr>
        <w:t>Для антикоррупционного обучения работников обычно направляют на семинары, круглые столы, лекции и т.п., в ходе которых они получают информацию о сущности, причинах, особенностях распространения и средствах борьбы с коррупцией.</w:t>
      </w:r>
    </w:p>
    <w:p w14:paraId="6FB0F67F" w14:textId="605E4772" w:rsidR="00045711" w:rsidRPr="00514E33" w:rsidRDefault="00514E33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>
        <w:rPr>
          <w:rStyle w:val="word-wrapper"/>
          <w:sz w:val="30"/>
          <w:szCs w:val="30"/>
          <w:lang w:val="en-US"/>
        </w:rPr>
        <w:t xml:space="preserve">   </w:t>
      </w:r>
      <w:r w:rsidR="00045711" w:rsidRPr="00514E33">
        <w:rPr>
          <w:rStyle w:val="word-wrapper"/>
          <w:sz w:val="30"/>
          <w:szCs w:val="30"/>
        </w:rPr>
        <w:t>Кроме того, организация может:</w:t>
      </w:r>
    </w:p>
    <w:p w14:paraId="72ED5FBE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 самостоятельно разработать и вручить под подпись должностным лицам памятки об основных требованиях антикоррупционного законодательства;</w:t>
      </w:r>
    </w:p>
    <w:p w14:paraId="177EF4BC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 направлять должностных лиц на обучающие курсы дополнительного образования или курсы повышения квалификации, в программы которых входят вопросы антикоррупционного законодательства;</w:t>
      </w:r>
    </w:p>
    <w:p w14:paraId="7C7F9BBF" w14:textId="77777777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 приглашать в организацию специалистов правоохранительных и контролирующих органов, научных организаций, других специалистов в области противодействия коррупции для выступления перед трудовым коллективом;</w:t>
      </w:r>
    </w:p>
    <w:p w14:paraId="67397F18" w14:textId="13F3EEDB" w:rsidR="00045711" w:rsidRPr="00514E33" w:rsidRDefault="00045711" w:rsidP="00514E33">
      <w:pPr>
        <w:pStyle w:val="il-text-indent095cm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-</w:t>
      </w:r>
      <w:r w:rsidR="00514E33">
        <w:rPr>
          <w:rStyle w:val="word-wrapper"/>
          <w:sz w:val="30"/>
          <w:szCs w:val="30"/>
          <w:lang w:val="en-US"/>
        </w:rPr>
        <w:t> </w:t>
      </w:r>
      <w:r w:rsidRPr="00514E33">
        <w:rPr>
          <w:rStyle w:val="word-wrapper"/>
          <w:sz w:val="30"/>
          <w:szCs w:val="30"/>
        </w:rPr>
        <w:t>обязать конкретных работников (например, председателя антикоррупционной комиссии, контактное лицо по вопросам противодействия коррупции, руководителя кадровой службы и службы безопасности) давать консультации по вопросам применения антикоррупционного законодательства.</w:t>
      </w:r>
    </w:p>
    <w:p w14:paraId="23CD9735" w14:textId="77777777" w:rsidR="00045711" w:rsidRPr="00514E33" w:rsidRDefault="00045711" w:rsidP="00514E33">
      <w:pPr>
        <w:ind w:firstLine="708"/>
        <w:contextualSpacing/>
        <w:jc w:val="both"/>
        <w:rPr>
          <w:rStyle w:val="word-wrapper"/>
          <w:b/>
          <w:sz w:val="30"/>
          <w:szCs w:val="30"/>
          <w:shd w:val="clear" w:color="auto" w:fill="FFFFFF"/>
        </w:rPr>
      </w:pPr>
      <w:r w:rsidRPr="00514E33">
        <w:rPr>
          <w:rStyle w:val="word-wrapper"/>
          <w:b/>
          <w:sz w:val="30"/>
          <w:szCs w:val="30"/>
          <w:shd w:val="clear" w:color="auto" w:fill="FFFFFF"/>
        </w:rPr>
        <w:t>Деятельность по борьбе с коррупцией в организации должна строится на плановой, систематической и целенаправленной основах.</w:t>
      </w:r>
    </w:p>
    <w:p w14:paraId="212E9DC7" w14:textId="77777777" w:rsidR="00045711" w:rsidRPr="00514E33" w:rsidRDefault="00045711" w:rsidP="00514E33">
      <w:pPr>
        <w:pStyle w:val="p-normal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 xml:space="preserve">Исходя из специфики и основных направлений деятельности госоргана (организации, учреждения, ведомства), а также целесообразности и актуальности поступившей (поступающей) </w:t>
      </w:r>
      <w:r w:rsidRPr="00514E33">
        <w:rPr>
          <w:rStyle w:val="word-wrapper"/>
          <w:sz w:val="30"/>
          <w:szCs w:val="30"/>
        </w:rPr>
        <w:lastRenderedPageBreak/>
        <w:t xml:space="preserve">информации по антикоррупционной тематике, годовые планы деятельности по борьбе с коррупцией готовятся и утверждаются, как правило, </w:t>
      </w:r>
      <w:r w:rsidRPr="00514E33">
        <w:rPr>
          <w:rStyle w:val="word-wrapper"/>
          <w:b/>
          <w:bCs/>
          <w:sz w:val="30"/>
          <w:szCs w:val="30"/>
        </w:rPr>
        <w:t>в последний месяц отчетного периода</w:t>
      </w:r>
      <w:r w:rsidRPr="00514E33">
        <w:rPr>
          <w:rStyle w:val="fake-non-breaking-space"/>
          <w:sz w:val="30"/>
          <w:szCs w:val="30"/>
        </w:rPr>
        <w:t> </w:t>
      </w:r>
      <w:r w:rsidRPr="00514E33">
        <w:rPr>
          <w:rStyle w:val="word-wrapper"/>
          <w:sz w:val="30"/>
          <w:szCs w:val="30"/>
        </w:rPr>
        <w:t>(т.е. календарного или учебного года - для разных организаций разные ежегодные отчетные периоды).</w:t>
      </w:r>
    </w:p>
    <w:p w14:paraId="7DB3D31E" w14:textId="77777777" w:rsidR="00045711" w:rsidRPr="00514E33" w:rsidRDefault="00045711" w:rsidP="00514E33">
      <w:pPr>
        <w:pStyle w:val="p-normal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514E33">
        <w:rPr>
          <w:rStyle w:val="word-wrapper"/>
          <w:b/>
          <w:bCs/>
          <w:sz w:val="30"/>
          <w:szCs w:val="30"/>
        </w:rPr>
        <w:t>Контроль</w:t>
      </w:r>
      <w:r w:rsidRPr="00514E33">
        <w:rPr>
          <w:rStyle w:val="fake-non-breaking-space"/>
          <w:sz w:val="30"/>
          <w:szCs w:val="30"/>
        </w:rPr>
        <w:t> </w:t>
      </w:r>
      <w:r w:rsidRPr="00514E33">
        <w:rPr>
          <w:rStyle w:val="word-wrapper"/>
          <w:sz w:val="30"/>
          <w:szCs w:val="30"/>
        </w:rPr>
        <w:t xml:space="preserve">за своевременностью подготовки и утверждения плана антикоррупционных мероприятий в организации </w:t>
      </w:r>
      <w:r w:rsidRPr="00514E33">
        <w:rPr>
          <w:rStyle w:val="word-wrapper"/>
          <w:b/>
          <w:bCs/>
          <w:sz w:val="30"/>
          <w:szCs w:val="30"/>
        </w:rPr>
        <w:t>возлагается на руководителя и уполномоченное лицо</w:t>
      </w:r>
      <w:r w:rsidRPr="00514E33">
        <w:rPr>
          <w:rStyle w:val="word-wrapper"/>
          <w:sz w:val="30"/>
          <w:szCs w:val="30"/>
        </w:rPr>
        <w:t>, ответственное за его подготовку и организацию запланированных мероприятий.</w:t>
      </w:r>
    </w:p>
    <w:p w14:paraId="76B71AB5" w14:textId="77777777" w:rsidR="00045711" w:rsidRPr="00514E33" w:rsidRDefault="00045711" w:rsidP="00514E33">
      <w:pPr>
        <w:pStyle w:val="p-normal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По каждому запланированному мероприятию плана после его исполнения должны быть в отдельной папке-накопителе соответствующие подтверждающие отчетные документы (материалы). Не допускается из года в год планировать "зеркально" только одни и те же мероприятия, не учитывая складывающуюся антикоррупционную ситуацию как в организации (в частности), так и в отрасли, в стране (в целом).</w:t>
      </w:r>
    </w:p>
    <w:p w14:paraId="3A98FF49" w14:textId="5137F3DA" w:rsidR="00045711" w:rsidRPr="00514E33" w:rsidRDefault="00045711" w:rsidP="00514E33">
      <w:pPr>
        <w:pStyle w:val="p-normal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514E33">
        <w:rPr>
          <w:rStyle w:val="word-wrapper"/>
          <w:sz w:val="30"/>
          <w:szCs w:val="30"/>
        </w:rPr>
        <w:t>Мероприятия плана должны быть динамичными и актуальными, целенаправленно направленными на предупреждение и профилактику преступлений (правонарушений) коррупционной направленности.</w:t>
      </w:r>
    </w:p>
    <w:p w14:paraId="37D1067C" w14:textId="77777777" w:rsidR="00AA16A7" w:rsidRDefault="00AA16A7" w:rsidP="004416DA">
      <w:pPr>
        <w:ind w:firstLine="709"/>
        <w:jc w:val="both"/>
        <w:rPr>
          <w:color w:val="000000"/>
          <w:sz w:val="30"/>
          <w:szCs w:val="30"/>
        </w:rPr>
      </w:pPr>
    </w:p>
    <w:p w14:paraId="68F28ECC" w14:textId="1BF0E119" w:rsidR="00DE4C88" w:rsidRPr="00514E33" w:rsidRDefault="000F7D5B" w:rsidP="0053087D">
      <w:pPr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514E33">
        <w:rPr>
          <w:b/>
          <w:bCs/>
          <w:color w:val="000000"/>
          <w:sz w:val="30"/>
          <w:szCs w:val="30"/>
        </w:rPr>
        <w:t>Прокуратура</w:t>
      </w:r>
      <w:r w:rsidR="00A41ADF" w:rsidRPr="00514E33">
        <w:rPr>
          <w:b/>
          <w:bCs/>
          <w:color w:val="000000"/>
          <w:sz w:val="30"/>
          <w:szCs w:val="30"/>
        </w:rPr>
        <w:t xml:space="preserve"> </w:t>
      </w:r>
      <w:r w:rsidR="00045711" w:rsidRPr="00514E33">
        <w:rPr>
          <w:b/>
          <w:bCs/>
          <w:color w:val="000000"/>
          <w:sz w:val="30"/>
          <w:szCs w:val="30"/>
        </w:rPr>
        <w:t>Молодечненского района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563A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C7F1" w14:textId="77777777" w:rsidR="00703593" w:rsidRDefault="00703593" w:rsidP="00A8596E">
      <w:r>
        <w:separator/>
      </w:r>
    </w:p>
  </w:endnote>
  <w:endnote w:type="continuationSeparator" w:id="0">
    <w:p w14:paraId="4AD5C506" w14:textId="77777777" w:rsidR="00703593" w:rsidRDefault="00703593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9E16" w14:textId="77777777" w:rsidR="00703593" w:rsidRDefault="00703593" w:rsidP="00A8596E">
      <w:r>
        <w:separator/>
      </w:r>
    </w:p>
  </w:footnote>
  <w:footnote w:type="continuationSeparator" w:id="0">
    <w:p w14:paraId="2D53C7D6" w14:textId="77777777" w:rsidR="00703593" w:rsidRDefault="00703593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0457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AE"/>
    <w:rsid w:val="00007E1B"/>
    <w:rsid w:val="000111F1"/>
    <w:rsid w:val="000212F1"/>
    <w:rsid w:val="0004571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61DF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14E33"/>
    <w:rsid w:val="00520D97"/>
    <w:rsid w:val="00525A38"/>
    <w:rsid w:val="0053087D"/>
    <w:rsid w:val="00530F88"/>
    <w:rsid w:val="00533157"/>
    <w:rsid w:val="00534242"/>
    <w:rsid w:val="00556E76"/>
    <w:rsid w:val="00561C4B"/>
    <w:rsid w:val="00563AD6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3593"/>
    <w:rsid w:val="00707E08"/>
    <w:rsid w:val="00731D8A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B6ED4"/>
    <w:rsid w:val="00AC7CE1"/>
    <w:rsid w:val="00AE2653"/>
    <w:rsid w:val="00B15078"/>
    <w:rsid w:val="00B31BC8"/>
    <w:rsid w:val="00B34453"/>
    <w:rsid w:val="00B34A90"/>
    <w:rsid w:val="00B422A7"/>
    <w:rsid w:val="00B520EE"/>
    <w:rsid w:val="00B5714F"/>
    <w:rsid w:val="00BB001F"/>
    <w:rsid w:val="00BB289A"/>
    <w:rsid w:val="00BB55B5"/>
    <w:rsid w:val="00BB6655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6ABE70B1-B726-4D16-A901-6A0AF9C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character" w:customStyle="1" w:styleId="word-wrapper">
    <w:name w:val="word-wrapper"/>
    <w:basedOn w:val="a0"/>
    <w:rsid w:val="00045711"/>
  </w:style>
  <w:style w:type="character" w:customStyle="1" w:styleId="fake-non-breaking-space">
    <w:name w:val="fake-non-breaking-space"/>
    <w:basedOn w:val="a0"/>
    <w:rsid w:val="00045711"/>
  </w:style>
  <w:style w:type="paragraph" w:customStyle="1" w:styleId="il-text-indent095cm">
    <w:name w:val="il-text-indent_0_95cm"/>
    <w:basedOn w:val="a"/>
    <w:rsid w:val="000457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5711"/>
  </w:style>
  <w:style w:type="paragraph" w:customStyle="1" w:styleId="il-text-aligncenter">
    <w:name w:val="il-text-align_center"/>
    <w:basedOn w:val="a"/>
    <w:rsid w:val="00045711"/>
    <w:pPr>
      <w:spacing w:before="100" w:beforeAutospacing="1" w:after="100" w:afterAutospacing="1"/>
    </w:pPr>
  </w:style>
  <w:style w:type="paragraph" w:customStyle="1" w:styleId="p-normal">
    <w:name w:val="p-normal"/>
    <w:basedOn w:val="a"/>
    <w:rsid w:val="0004571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045711"/>
  </w:style>
  <w:style w:type="character" w:customStyle="1" w:styleId="font-weightbold">
    <w:name w:val="font-weight_bold"/>
    <w:basedOn w:val="a0"/>
    <w:rsid w:val="0004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8E57-1ECB-41B6-A670-55605EC7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Буткевич Екатерина Юрьевна</cp:lastModifiedBy>
  <cp:revision>3</cp:revision>
  <cp:lastPrinted>2024-03-20T05:26:00Z</cp:lastPrinted>
  <dcterms:created xsi:type="dcterms:W3CDTF">2024-03-20T05:26:00Z</dcterms:created>
  <dcterms:modified xsi:type="dcterms:W3CDTF">2024-03-20T14:32:00Z</dcterms:modified>
</cp:coreProperties>
</file>